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725C1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</w:t>
      </w:r>
      <w:r w:rsidR="003E73E0">
        <w:rPr>
          <w:rFonts w:asciiTheme="minorHAnsi" w:eastAsiaTheme="minorHAnsi" w:hAnsiTheme="minorHAnsi" w:cs="Segoe UI"/>
          <w:lang w:eastAsia="en-US"/>
        </w:rPr>
        <w:t>0.01.2020</w:t>
      </w:r>
    </w:p>
    <w:p w:rsidR="00664488" w:rsidRDefault="00664488" w:rsidP="006A2522">
      <w:pPr>
        <w:rPr>
          <w:rFonts w:asciiTheme="minorHAnsi" w:eastAsiaTheme="minorHAnsi" w:hAnsiTheme="minorHAnsi" w:cs="Segoe UI"/>
          <w:lang w:eastAsia="en-US"/>
        </w:rPr>
      </w:pP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3E73E0" w:rsidRDefault="003E73E0" w:rsidP="003E73E0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В январе 2020 </w:t>
      </w:r>
      <w:r w:rsidR="006B75A0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года </w:t>
      </w:r>
      <w:r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вступили в законную силу </w:t>
      </w:r>
      <w:r w:rsidRPr="003E73E0">
        <w:rPr>
          <w:rFonts w:ascii="Segoe UI" w:eastAsia="Calibri" w:hAnsi="Segoe UI" w:cs="Segoe UI"/>
          <w:b/>
          <w:sz w:val="36"/>
          <w:szCs w:val="36"/>
          <w:lang w:eastAsia="en-US"/>
        </w:rPr>
        <w:t>изменени</w:t>
      </w:r>
      <w:r>
        <w:rPr>
          <w:rFonts w:ascii="Segoe UI" w:eastAsia="Calibri" w:hAnsi="Segoe UI" w:cs="Segoe UI"/>
          <w:b/>
          <w:sz w:val="36"/>
          <w:szCs w:val="36"/>
          <w:lang w:eastAsia="en-US"/>
        </w:rPr>
        <w:t>я</w:t>
      </w:r>
      <w:r w:rsidRPr="003E73E0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реквизитов и размеров платы за предоставление сведений, содержащихся в Едином государственном реестре недвижимости</w:t>
      </w:r>
    </w:p>
    <w:p w:rsidR="003E73E0" w:rsidRDefault="003E73E0" w:rsidP="003E73E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6B75A0">
        <w:rPr>
          <w:rFonts w:ascii="Segoe UI" w:eastAsia="Calibri" w:hAnsi="Segoe UI" w:cs="Segoe UI"/>
          <w:b/>
          <w:sz w:val="28"/>
          <w:szCs w:val="28"/>
          <w:lang w:eastAsia="en-US"/>
        </w:rPr>
        <w:t>10.01.2020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>
        <w:rPr>
          <w:rFonts w:ascii="Segoe UI" w:eastAsia="Calibri" w:hAnsi="Segoe UI" w:cs="Segoe UI"/>
          <w:sz w:val="28"/>
          <w:szCs w:val="28"/>
          <w:lang w:eastAsia="en-US"/>
        </w:rPr>
        <w:t>вступили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в силу изменения в приказ Минэкономразвития России от 10.05.2016 № 291 «Об установлении размеров платы за предоставление сведений, содержащихся в Е</w:t>
      </w:r>
      <w:r>
        <w:rPr>
          <w:rFonts w:ascii="Segoe UI" w:eastAsia="Calibri" w:hAnsi="Segoe UI" w:cs="Segoe UI"/>
          <w:sz w:val="28"/>
          <w:szCs w:val="28"/>
          <w:lang w:eastAsia="en-US"/>
        </w:rPr>
        <w:t>дином государственном реестре недвижимости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>»</w:t>
      </w:r>
      <w:r w:rsidR="006B75A0">
        <w:rPr>
          <w:rFonts w:ascii="Segoe UI" w:eastAsia="Calibri" w:hAnsi="Segoe UI" w:cs="Segoe UI"/>
          <w:sz w:val="28"/>
          <w:szCs w:val="28"/>
          <w:lang w:eastAsia="en-US"/>
        </w:rPr>
        <w:t xml:space="preserve">, которые утверждены приказом </w:t>
      </w:r>
      <w:r w:rsidR="006B75A0" w:rsidRPr="006B75A0">
        <w:rPr>
          <w:rFonts w:ascii="Segoe UI" w:eastAsia="Calibri" w:hAnsi="Segoe UI" w:cs="Segoe UI"/>
          <w:sz w:val="28"/>
          <w:szCs w:val="28"/>
          <w:lang w:eastAsia="en-US"/>
        </w:rPr>
        <w:t>Минэконо</w:t>
      </w:r>
      <w:r w:rsidR="006B75A0">
        <w:rPr>
          <w:rFonts w:ascii="Segoe UI" w:eastAsia="Calibri" w:hAnsi="Segoe UI" w:cs="Segoe UI"/>
          <w:sz w:val="28"/>
          <w:szCs w:val="28"/>
          <w:lang w:eastAsia="en-US"/>
        </w:rPr>
        <w:t>мразвития России от 25.12.2019 № 839 «</w:t>
      </w:r>
      <w:r w:rsidR="006B75A0" w:rsidRPr="006B75A0">
        <w:rPr>
          <w:rFonts w:ascii="Segoe UI" w:eastAsia="Calibri" w:hAnsi="Segoe UI" w:cs="Segoe UI"/>
          <w:sz w:val="28"/>
          <w:szCs w:val="28"/>
          <w:lang w:eastAsia="en-US"/>
        </w:rPr>
        <w:t>О в</w:t>
      </w:r>
      <w:r w:rsidR="006B75A0">
        <w:rPr>
          <w:rFonts w:ascii="Segoe UI" w:eastAsia="Calibri" w:hAnsi="Segoe UI" w:cs="Segoe UI"/>
          <w:sz w:val="28"/>
          <w:szCs w:val="28"/>
          <w:lang w:eastAsia="en-US"/>
        </w:rPr>
        <w:t>несении изменений в приложения №</w:t>
      </w:r>
      <w:r w:rsidR="006B75A0" w:rsidRPr="006B75A0">
        <w:rPr>
          <w:rFonts w:ascii="Segoe UI" w:eastAsia="Calibri" w:hAnsi="Segoe UI" w:cs="Segoe UI"/>
          <w:sz w:val="28"/>
          <w:szCs w:val="28"/>
          <w:lang w:eastAsia="en-US"/>
        </w:rPr>
        <w:t xml:space="preserve"> 1, 2 к приказу Минэкономраз</w:t>
      </w:r>
      <w:r w:rsidR="006B75A0">
        <w:rPr>
          <w:rFonts w:ascii="Segoe UI" w:eastAsia="Calibri" w:hAnsi="Segoe UI" w:cs="Segoe UI"/>
          <w:sz w:val="28"/>
          <w:szCs w:val="28"/>
          <w:lang w:eastAsia="en-US"/>
        </w:rPr>
        <w:t>вития России от 10.05.2016 № 291 «</w:t>
      </w:r>
      <w:r w:rsidR="006B75A0" w:rsidRPr="006B75A0">
        <w:rPr>
          <w:rFonts w:ascii="Segoe UI" w:eastAsia="Calibri" w:hAnsi="Segoe UI" w:cs="Segoe UI"/>
          <w:sz w:val="28"/>
          <w:szCs w:val="28"/>
          <w:lang w:eastAsia="en-US"/>
        </w:rPr>
        <w:t>Об установлении размеров платы за предоставление сведений, содержащихся в Едином госуд</w:t>
      </w:r>
      <w:r w:rsidR="006B75A0">
        <w:rPr>
          <w:rFonts w:ascii="Segoe UI" w:eastAsia="Calibri" w:hAnsi="Segoe UI" w:cs="Segoe UI"/>
          <w:sz w:val="28"/>
          <w:szCs w:val="28"/>
          <w:lang w:eastAsia="en-US"/>
        </w:rPr>
        <w:t>арственном реестре недвижимости»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. </w:t>
      </w:r>
    </w:p>
    <w:p w:rsidR="003E73E0" w:rsidRDefault="003E73E0" w:rsidP="003E73E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3E73E0">
        <w:rPr>
          <w:rFonts w:ascii="Segoe UI" w:eastAsia="Calibri" w:hAnsi="Segoe UI" w:cs="Segoe UI"/>
          <w:sz w:val="28"/>
          <w:szCs w:val="28"/>
          <w:lang w:eastAsia="en-US"/>
        </w:rPr>
        <w:t>Изменения размеров платы за предоставление сведений, содержащихся в Едином государственном реестре недвижимости, коснулись всех категорий заявителей, а также всех форм предоставления сведений и вида документа.</w:t>
      </w:r>
    </w:p>
    <w:p w:rsidR="003E73E0" w:rsidRDefault="003E73E0" w:rsidP="003E73E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Так, например, </w:t>
      </w:r>
      <w:r w:rsidR="001350C1" w:rsidRPr="001350C1">
        <w:rPr>
          <w:rFonts w:ascii="Segoe UI" w:eastAsia="Calibri" w:hAnsi="Segoe UI" w:cs="Segoe UI"/>
          <w:sz w:val="28"/>
          <w:szCs w:val="28"/>
          <w:lang w:eastAsia="en-US"/>
        </w:rPr>
        <w:t>плата за выписку об основных характеристиках и зарегистрированных пра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 xml:space="preserve">вах на объект недвижимости или же за </w:t>
      </w:r>
      <w:r w:rsidR="001350C1" w:rsidRPr="001350C1">
        <w:rPr>
          <w:rFonts w:ascii="Segoe UI" w:eastAsia="Calibri" w:hAnsi="Segoe UI" w:cs="Segoe UI"/>
          <w:sz w:val="28"/>
          <w:szCs w:val="28"/>
          <w:lang w:eastAsia="en-US"/>
        </w:rPr>
        <w:t>выписку о переходе прав на объект недвижимости для физических лиц поднялась с 400 до 460 рублей. Для юридических лиц эти виды выписок стали стоить 127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0 вместо 1100 рублей за единицу. Плата за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 xml:space="preserve">получение 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>копи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й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договор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ов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или ин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ых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документ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ов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>, выражающ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их</w:t>
      </w:r>
      <w:r w:rsidRPr="003E73E0">
        <w:rPr>
          <w:rFonts w:ascii="Segoe UI" w:eastAsia="Calibri" w:hAnsi="Segoe UI" w:cs="Segoe UI"/>
          <w:sz w:val="28"/>
          <w:szCs w:val="28"/>
          <w:lang w:eastAsia="en-US"/>
        </w:rPr>
        <w:t xml:space="preserve"> содержание односторонней сделки, совершенной в простой письменной форме, содержащегося в реестровом дел</w:t>
      </w:r>
      <w:r>
        <w:rPr>
          <w:rFonts w:ascii="Segoe UI" w:eastAsia="Calibri" w:hAnsi="Segoe UI" w:cs="Segoe UI"/>
          <w:sz w:val="28"/>
          <w:szCs w:val="28"/>
          <w:lang w:eastAsia="en-US"/>
        </w:rPr>
        <w:t xml:space="preserve">е 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для граждан увеличилась с 300 рублей до</w:t>
      </w:r>
      <w:r>
        <w:rPr>
          <w:rFonts w:ascii="Segoe UI" w:eastAsia="Calibri" w:hAnsi="Segoe UI" w:cs="Segoe UI"/>
          <w:sz w:val="28"/>
          <w:szCs w:val="28"/>
          <w:lang w:eastAsia="en-US"/>
        </w:rPr>
        <w:t xml:space="preserve"> 340 руб</w:t>
      </w:r>
      <w:r w:rsidR="001350C1">
        <w:rPr>
          <w:rFonts w:ascii="Segoe UI" w:eastAsia="Calibri" w:hAnsi="Segoe UI" w:cs="Segoe UI"/>
          <w:sz w:val="28"/>
          <w:szCs w:val="28"/>
          <w:lang w:eastAsia="en-US"/>
        </w:rPr>
        <w:t>лей за единицу.</w:t>
      </w:r>
      <w:r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3121D2" w:rsidRDefault="001350C1" w:rsidP="003121D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  <w:bookmarkStart w:id="0" w:name="_GoBack"/>
      <w:bookmarkEnd w:id="0"/>
      <w:r>
        <w:rPr>
          <w:rFonts w:ascii="Segoe UI" w:eastAsiaTheme="minorHAnsi" w:hAnsi="Segoe UI" w:cs="Segoe UI"/>
          <w:sz w:val="28"/>
          <w:szCs w:val="28"/>
          <w:lang w:eastAsia="en-US"/>
        </w:rPr>
        <w:t xml:space="preserve">Кроме того, </w:t>
      </w:r>
      <w:r w:rsidR="006B75A0">
        <w:rPr>
          <w:rFonts w:ascii="Segoe UI" w:eastAsiaTheme="minorHAnsi" w:hAnsi="Segoe UI" w:cs="Segoe UI"/>
          <w:sz w:val="28"/>
          <w:szCs w:val="28"/>
          <w:lang w:eastAsia="en-US"/>
        </w:rPr>
        <w:t xml:space="preserve">обращаем Ваше внимание, что </w:t>
      </w:r>
      <w:r w:rsidR="003121D2" w:rsidRPr="006B75A0">
        <w:rPr>
          <w:rFonts w:ascii="Segoe UI" w:eastAsiaTheme="minorHAnsi" w:hAnsi="Segoe UI" w:cs="Segoe UI"/>
          <w:b/>
          <w:sz w:val="28"/>
          <w:szCs w:val="28"/>
          <w:lang w:eastAsia="en-US"/>
        </w:rPr>
        <w:t>с 1 января 2020 года</w:t>
      </w:r>
      <w:r w:rsid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 уплату государственной пошлины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>за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 выдачу сведений из ЕГРН, предоставляемые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филиалом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ФГБУ «ФКП </w:t>
      </w:r>
      <w:proofErr w:type="spellStart"/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>Росреестра</w:t>
      </w:r>
      <w:proofErr w:type="spellEnd"/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» по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>Калужской области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, необходимо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производить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по реквизитам Управления </w:t>
      </w:r>
      <w:proofErr w:type="spellStart"/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>Росреестра</w:t>
      </w:r>
      <w:proofErr w:type="spellEnd"/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 xml:space="preserve"> по </w:t>
      </w:r>
      <w:r w:rsidR="003121D2" w:rsidRPr="003121D2">
        <w:rPr>
          <w:rFonts w:ascii="Segoe UI" w:eastAsiaTheme="minorHAnsi" w:hAnsi="Segoe UI" w:cs="Segoe UI"/>
          <w:sz w:val="28"/>
          <w:szCs w:val="28"/>
          <w:lang w:eastAsia="en-US"/>
        </w:rPr>
        <w:t>Калужской области</w:t>
      </w:r>
      <w:r w:rsidR="003121D2">
        <w:rPr>
          <w:rFonts w:ascii="Segoe UI" w:eastAsiaTheme="minorHAnsi" w:hAnsi="Segoe UI" w:cs="Segoe UI"/>
          <w:sz w:val="28"/>
          <w:szCs w:val="28"/>
          <w:lang w:eastAsia="en-US"/>
        </w:rPr>
        <w:t>:</w:t>
      </w:r>
    </w:p>
    <w:p w:rsidR="006B75A0" w:rsidRDefault="006B75A0" w:rsidP="003121D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6020"/>
      </w:tblGrid>
      <w:tr w:rsidR="003121D2" w:rsidTr="00AA62CB">
        <w:trPr>
          <w:trHeight w:hRule="exact" w:val="33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1D2" w:rsidRDefault="003121D2" w:rsidP="00AA62CB">
            <w:pPr>
              <w:rPr>
                <w:sz w:val="10"/>
                <w:szCs w:val="1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Реквизиты</w:t>
            </w:r>
          </w:p>
        </w:tc>
      </w:tr>
      <w:tr w:rsidR="003121D2" w:rsidTr="00AA62CB">
        <w:trPr>
          <w:trHeight w:hRule="exact" w:val="6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120" w:line="240" w:lineRule="exact"/>
            </w:pPr>
            <w:r>
              <w:rPr>
                <w:rStyle w:val="212pt"/>
                <w:rFonts w:eastAsiaTheme="minorHAnsi"/>
              </w:rPr>
              <w:t>«Наименование</w:t>
            </w:r>
          </w:p>
          <w:p w:rsidR="003121D2" w:rsidRDefault="003121D2" w:rsidP="00AA62CB">
            <w:pPr>
              <w:pStyle w:val="22"/>
              <w:shd w:val="clear" w:color="auto" w:fill="auto"/>
              <w:spacing w:before="120" w:after="0"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получателя</w:t>
            </w:r>
            <w:proofErr w:type="gramEnd"/>
            <w:r>
              <w:rPr>
                <w:rStyle w:val="212pt"/>
                <w:rFonts w:eastAsiaTheme="minorHAnsi"/>
              </w:rPr>
              <w:t>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74" w:lineRule="exact"/>
            </w:pPr>
            <w:r>
              <w:rPr>
                <w:rStyle w:val="212pt"/>
                <w:rFonts w:eastAsiaTheme="minorHAnsi"/>
              </w:rPr>
              <w:t xml:space="preserve">УФК по Калужской области (Управление </w:t>
            </w:r>
            <w:proofErr w:type="spellStart"/>
            <w:r>
              <w:rPr>
                <w:rStyle w:val="212pt"/>
                <w:rFonts w:eastAsiaTheme="minorHAnsi"/>
              </w:rPr>
              <w:t>Росреестра</w:t>
            </w:r>
            <w:proofErr w:type="spellEnd"/>
            <w:r>
              <w:rPr>
                <w:rStyle w:val="212pt"/>
                <w:rFonts w:eastAsiaTheme="minorHAnsi"/>
              </w:rPr>
              <w:t xml:space="preserve">                  по Калужской области)</w:t>
            </w:r>
          </w:p>
        </w:tc>
      </w:tr>
      <w:tr w:rsidR="003121D2" w:rsidTr="00AA62CB">
        <w:trPr>
          <w:trHeight w:hRule="exact"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«ИНН»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4027066800</w:t>
            </w:r>
          </w:p>
        </w:tc>
      </w:tr>
      <w:tr w:rsidR="003121D2" w:rsidTr="00AA62CB">
        <w:trPr>
          <w:trHeight w:hRule="exact" w:val="34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«КПП»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402701001</w:t>
            </w:r>
          </w:p>
        </w:tc>
      </w:tr>
      <w:tr w:rsidR="003121D2" w:rsidTr="00AA62CB">
        <w:trPr>
          <w:trHeight w:hRule="exact" w:val="6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«Банк получателя»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Отделение Калуга</w:t>
            </w:r>
          </w:p>
        </w:tc>
      </w:tr>
      <w:tr w:rsidR="003121D2" w:rsidTr="00AA62CB">
        <w:trPr>
          <w:trHeight w:hRule="exact" w:val="32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«БИК»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042908001</w:t>
            </w:r>
          </w:p>
        </w:tc>
      </w:tr>
      <w:tr w:rsidR="003121D2" w:rsidTr="00AA62CB">
        <w:trPr>
          <w:trHeight w:hRule="exact" w:val="32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«Расчётный счет»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40101810500000010001</w:t>
            </w:r>
          </w:p>
        </w:tc>
      </w:tr>
      <w:tr w:rsidR="003121D2" w:rsidTr="00AA62CB">
        <w:trPr>
          <w:trHeight w:hRule="exact"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«ОКТМО»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По месту обращения за услугой (29701000 - Калуга)</w:t>
            </w:r>
          </w:p>
        </w:tc>
      </w:tr>
      <w:tr w:rsidR="003121D2" w:rsidTr="00AA62CB">
        <w:trPr>
          <w:trHeight w:hRule="exact" w:val="169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«КБК»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1D2" w:rsidRDefault="003121D2" w:rsidP="00AA62CB">
            <w:pPr>
              <w:pStyle w:val="22"/>
              <w:shd w:val="clear" w:color="auto" w:fill="auto"/>
              <w:spacing w:after="0" w:line="278" w:lineRule="exact"/>
            </w:pPr>
            <w:r>
              <w:rPr>
                <w:rStyle w:val="212pt"/>
                <w:rFonts w:eastAsiaTheme="minorHAnsi"/>
              </w:rPr>
              <w:t xml:space="preserve">321 1 1301031 01 6001 130 Плата за предоставление сведений из Единого государственного реестра недвижимости (федеральные учреждения, осуществляющие отдельные полномочия органа регистрации прав) - плата за предоставление ФГБУ «ФКП </w:t>
            </w:r>
            <w:proofErr w:type="spellStart"/>
            <w:r>
              <w:rPr>
                <w:rStyle w:val="212pt"/>
                <w:rFonts w:eastAsiaTheme="minorHAnsi"/>
              </w:rPr>
              <w:t>Росреестра</w:t>
            </w:r>
            <w:proofErr w:type="spellEnd"/>
            <w:r>
              <w:rPr>
                <w:rStyle w:val="212pt"/>
                <w:rFonts w:eastAsiaTheme="minorHAnsi"/>
              </w:rPr>
              <w:t>» сведений из ЕГРН</w:t>
            </w:r>
          </w:p>
        </w:tc>
      </w:tr>
    </w:tbl>
    <w:p w:rsidR="003121D2" w:rsidRPr="003121D2" w:rsidRDefault="003121D2" w:rsidP="003121D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</w:p>
    <w:p w:rsidR="00976548" w:rsidRDefault="006B75A0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>При этом, р</w:t>
      </w:r>
      <w:r w:rsidR="003121D2" w:rsidRPr="003121D2">
        <w:rPr>
          <w:rFonts w:ascii="Segoe UI" w:eastAsia="Calibri" w:hAnsi="Segoe UI" w:cs="Segoe UI"/>
          <w:sz w:val="28"/>
          <w:szCs w:val="28"/>
          <w:lang w:eastAsia="en-US"/>
        </w:rPr>
        <w:t xml:space="preserve">еквизиты </w:t>
      </w:r>
      <w:r w:rsidR="003121D2">
        <w:rPr>
          <w:rFonts w:ascii="Segoe UI" w:eastAsia="Calibri" w:hAnsi="Segoe UI" w:cs="Segoe UI"/>
          <w:sz w:val="28"/>
          <w:szCs w:val="28"/>
          <w:lang w:eastAsia="en-US"/>
        </w:rPr>
        <w:t>для уплаты государственной пошлины</w:t>
      </w:r>
      <w:r w:rsidR="003121D2" w:rsidRPr="003121D2">
        <w:rPr>
          <w:rFonts w:ascii="Segoe UI" w:eastAsia="Calibri" w:hAnsi="Segoe UI" w:cs="Segoe UI"/>
          <w:sz w:val="28"/>
          <w:szCs w:val="28"/>
          <w:lang w:eastAsia="en-US"/>
        </w:rPr>
        <w:t xml:space="preserve"> за выдачу сведений в виде копий договоров и иных документов, выражающих содержание односторонних сделок, совершенных в простой письменной форме, и запросов (в том числе в электронном виде) на выдачу сведений в виде выписки о содержании правоустанавливающих документов не изменяются.</w:t>
      </w:r>
      <w:r w:rsidR="00976548"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DA7C7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5B7B6C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C4" w:rsidRDefault="00D458C4" w:rsidP="00AC3438">
      <w:r>
        <w:separator/>
      </w:r>
    </w:p>
  </w:endnote>
  <w:endnote w:type="continuationSeparator" w:id="0">
    <w:p w:rsidR="00D458C4" w:rsidRDefault="00D458C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C4" w:rsidRDefault="00D458C4" w:rsidP="00AC3438">
      <w:r>
        <w:separator/>
      </w:r>
    </w:p>
  </w:footnote>
  <w:footnote w:type="continuationSeparator" w:id="0">
    <w:p w:rsidR="00D458C4" w:rsidRDefault="00D458C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4" w:rsidRDefault="00D458C4">
    <w:pPr>
      <w:pStyle w:val="a4"/>
      <w:jc w:val="center"/>
    </w:pPr>
  </w:p>
  <w:p w:rsidR="00D458C4" w:rsidRDefault="00D45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25C1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0C1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35A73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42B4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21D2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E73E0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B81"/>
    <w:rsid w:val="005B5286"/>
    <w:rsid w:val="005B6C2F"/>
    <w:rsid w:val="005B79A7"/>
    <w:rsid w:val="005B7B6C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B49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B75A0"/>
    <w:rsid w:val="006C3D8F"/>
    <w:rsid w:val="006C7829"/>
    <w:rsid w:val="006D27A0"/>
    <w:rsid w:val="006D4B45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44A1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0AB5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C1457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A889736-44BF-450E-8359-8815FF7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3121D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21D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rsid w:val="003121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CEA6-9564-4569-BC03-300A745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Родионова Анастасия Андреевна</cp:lastModifiedBy>
  <cp:revision>2</cp:revision>
  <cp:lastPrinted>2020-01-10T07:43:00Z</cp:lastPrinted>
  <dcterms:created xsi:type="dcterms:W3CDTF">2020-01-10T07:45:00Z</dcterms:created>
  <dcterms:modified xsi:type="dcterms:W3CDTF">2020-01-10T07:45:00Z</dcterms:modified>
</cp:coreProperties>
</file>